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71C72" w:rsidTr="00E56D2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1C72" w:rsidRDefault="00071C72">
            <w:pPr>
              <w:pStyle w:val="ConsPlusNormal"/>
              <w:outlineLvl w:val="0"/>
            </w:pPr>
            <w:r>
              <w:t>29 ноября 2022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71C72" w:rsidRDefault="00071C72">
            <w:pPr>
              <w:pStyle w:val="ConsPlusNormal"/>
              <w:jc w:val="right"/>
              <w:outlineLvl w:val="0"/>
            </w:pPr>
            <w:r>
              <w:t>N 215/2022-ОЗ</w:t>
            </w:r>
          </w:p>
        </w:tc>
      </w:tr>
    </w:tbl>
    <w:p w:rsidR="00071C72" w:rsidRDefault="00071C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Normal"/>
        <w:jc w:val="right"/>
      </w:pPr>
      <w:r>
        <w:t>Принят</w:t>
      </w:r>
    </w:p>
    <w:p w:rsidR="00071C72" w:rsidRDefault="00071C72">
      <w:pPr>
        <w:pStyle w:val="ConsPlusNormal"/>
        <w:jc w:val="right"/>
      </w:pPr>
      <w:r>
        <w:t>постановлением</w:t>
      </w:r>
    </w:p>
    <w:p w:rsidR="00071C72" w:rsidRDefault="00071C72">
      <w:pPr>
        <w:pStyle w:val="ConsPlusNormal"/>
        <w:jc w:val="right"/>
      </w:pPr>
      <w:r>
        <w:t>Московской областной Думы</w:t>
      </w:r>
    </w:p>
    <w:p w:rsidR="00071C72" w:rsidRDefault="00071C72">
      <w:pPr>
        <w:pStyle w:val="ConsPlusNormal"/>
        <w:jc w:val="right"/>
      </w:pPr>
      <w:r>
        <w:t>от 17 ноября 2022 г. N 12/38-П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Title"/>
        <w:jc w:val="center"/>
      </w:pPr>
      <w:r>
        <w:t>ЗАКОН</w:t>
      </w:r>
    </w:p>
    <w:p w:rsidR="00071C72" w:rsidRDefault="00071C72">
      <w:pPr>
        <w:pStyle w:val="ConsPlusTitle"/>
        <w:jc w:val="center"/>
      </w:pPr>
      <w:r>
        <w:t>МОСКОВСКОЙ ОБЛАСТИ</w:t>
      </w:r>
    </w:p>
    <w:p w:rsidR="00071C72" w:rsidRDefault="00071C72">
      <w:pPr>
        <w:pStyle w:val="ConsPlusTitle"/>
        <w:jc w:val="both"/>
      </w:pPr>
    </w:p>
    <w:p w:rsidR="00071C72" w:rsidRDefault="00071C72">
      <w:pPr>
        <w:pStyle w:val="ConsPlusTitle"/>
        <w:jc w:val="center"/>
      </w:pPr>
      <w:r>
        <w:t>ОБ УСТАНОВЛЕНИИ БАЗОВОГО РАЗМЕРА АРЕНДНОЙ ПЛАТЫ ЗА ЗЕМЕЛЬНЫЕ</w:t>
      </w:r>
    </w:p>
    <w:p w:rsidR="00071C72" w:rsidRDefault="00071C72">
      <w:pPr>
        <w:pStyle w:val="ConsPlusTitle"/>
        <w:jc w:val="center"/>
      </w:pPr>
      <w:r>
        <w:t>УЧАСТКИ, НАХОДЯЩИЕСЯ В СОБСТВЕННОСТИ МОСКОВСКОЙ ОБЛАСТИ ИЛИ</w:t>
      </w:r>
    </w:p>
    <w:p w:rsidR="00071C72" w:rsidRDefault="00071C72">
      <w:pPr>
        <w:pStyle w:val="ConsPlusTitle"/>
        <w:jc w:val="center"/>
      </w:pPr>
      <w:r>
        <w:t>ГОСУДАРСТВЕННАЯ СОБСТВЕННОСТЬ НА КОТОРЫЕ НЕ РАЗГРАНИЧЕНА</w:t>
      </w:r>
    </w:p>
    <w:p w:rsidR="00071C72" w:rsidRDefault="00071C72">
      <w:pPr>
        <w:pStyle w:val="ConsPlusTitle"/>
        <w:jc w:val="center"/>
      </w:pPr>
      <w:r>
        <w:t>НА ТЕРРИТОРИИ МОСКОВСКОЙ ОБЛАСТИ, НА 2023 ГОД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Законом</w:t>
        </w:r>
      </w:hyperlink>
      <w:r>
        <w:t xml:space="preserve"> Московской области N 23/96-ОЗ "О регулировании земельных отношений в Московской области" настоящий Закон устанавливает базовый размер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Московской области, на 2023 год (далее - земельные участки).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Title"/>
        <w:ind w:firstLine="540"/>
        <w:jc w:val="both"/>
        <w:outlineLvl w:val="1"/>
      </w:pPr>
      <w:r>
        <w:t>Статья 2. Порядок установления базового размера арендной платы за земельные участки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Normal"/>
        <w:ind w:firstLine="540"/>
        <w:jc w:val="both"/>
      </w:pPr>
      <w:r>
        <w:t xml:space="preserve">Значения базового </w:t>
      </w:r>
      <w:hyperlink w:anchor="P90">
        <w:r>
          <w:rPr>
            <w:color w:val="0000FF"/>
          </w:rPr>
          <w:t>размера</w:t>
        </w:r>
      </w:hyperlink>
      <w:r>
        <w:t xml:space="preserve"> арендной платы за земельные участки устанавливаются в соответствии с приложением к настоящему Закону, за исключением случаев, предусмотренных </w:t>
      </w:r>
      <w:hyperlink w:anchor="P25">
        <w:r>
          <w:rPr>
            <w:color w:val="0000FF"/>
          </w:rPr>
          <w:t>статьями 3</w:t>
        </w:r>
      </w:hyperlink>
      <w:r>
        <w:t xml:space="preserve"> - </w:t>
      </w:r>
      <w:hyperlink w:anchor="P59">
        <w:r>
          <w:rPr>
            <w:color w:val="0000FF"/>
          </w:rPr>
          <w:t>9</w:t>
        </w:r>
      </w:hyperlink>
      <w:r>
        <w:t xml:space="preserve"> настоящего Закона.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Title"/>
        <w:ind w:firstLine="540"/>
        <w:jc w:val="both"/>
        <w:outlineLvl w:val="1"/>
      </w:pPr>
      <w:bookmarkStart w:id="0" w:name="P25"/>
      <w:bookmarkEnd w:id="0"/>
      <w:r>
        <w:t>Статья 3. Базовый размер арендной платы за земельные участки, предоставленные для сельскохозяйственного использования, в границах населенных пунктов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Normal"/>
        <w:ind w:firstLine="540"/>
        <w:jc w:val="both"/>
      </w:pPr>
      <w:r>
        <w:t xml:space="preserve">1. Базовый размер арендной платы за земельные участки, предоставленные для сельскохозяйственного использования, за исключением случаев, предусмотренных </w:t>
      </w:r>
      <w:hyperlink w:anchor="P32">
        <w:r>
          <w:rPr>
            <w:color w:val="0000FF"/>
          </w:rPr>
          <w:t>статьей 4</w:t>
        </w:r>
      </w:hyperlink>
      <w:r>
        <w:t xml:space="preserve"> настоящего Закона, устанавливается:</w:t>
      </w:r>
    </w:p>
    <w:p w:rsidR="00071C72" w:rsidRDefault="00071C72">
      <w:pPr>
        <w:pStyle w:val="ConsPlusNormal"/>
        <w:spacing w:before="220"/>
        <w:ind w:firstLine="540"/>
        <w:jc w:val="both"/>
      </w:pPr>
      <w:r>
        <w:t>1) в границах города, микрорайона, квартала в размере базового размера арендной платы за земли сельскохозяйственного назначения соответствующего городского округа;</w:t>
      </w:r>
    </w:p>
    <w:p w:rsidR="00071C72" w:rsidRDefault="00071C72">
      <w:pPr>
        <w:pStyle w:val="ConsPlusNormal"/>
        <w:spacing w:before="220"/>
        <w:ind w:firstLine="540"/>
        <w:jc w:val="both"/>
      </w:pPr>
      <w:r>
        <w:t>2) в границах поселков городского типа (рабочих или дачных) в размере базового размера арендной платы за земли сельскохозяйственного назначения соответствующего городского округа.</w:t>
      </w:r>
    </w:p>
    <w:p w:rsidR="00071C72" w:rsidRDefault="00071C72">
      <w:pPr>
        <w:pStyle w:val="ConsPlusNormal"/>
        <w:spacing w:before="220"/>
        <w:ind w:firstLine="540"/>
        <w:jc w:val="both"/>
      </w:pPr>
      <w:r>
        <w:t>2. Базовый размер арендной платы за земельные участки, предоставленные для сельскохозяйственного использования крестьянским (фермерским) хозяйствам для осуществления их деятельности, в границах сельских населенных пунктов устанавливается в размере базового размера арендной платы за земли сельскохозяйственного назначения соответствующего городского округа.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Title"/>
        <w:ind w:firstLine="540"/>
        <w:jc w:val="both"/>
        <w:outlineLvl w:val="1"/>
      </w:pPr>
      <w:bookmarkStart w:id="1" w:name="P32"/>
      <w:bookmarkEnd w:id="1"/>
      <w:r>
        <w:t>Статья 4. Базовый размер арендной платы за земельные участки, занятые жилищным фондом (государственным, муниципальным, частным), а также предоставленные гражданам и их некоммерческим объединениям, в границах городов и поселков городского типа (рабочих или дачных)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Normal"/>
        <w:ind w:firstLine="540"/>
        <w:jc w:val="both"/>
      </w:pPr>
      <w:r>
        <w:lastRenderedPageBreak/>
        <w:t>Базовый размер арендной платы за земельные участки в границах городов и поселков городского типа (рабочих или дачных):</w:t>
      </w:r>
    </w:p>
    <w:p w:rsidR="00071C72" w:rsidRDefault="00071C72">
      <w:pPr>
        <w:pStyle w:val="ConsPlusNormal"/>
        <w:spacing w:before="220"/>
        <w:ind w:firstLine="540"/>
        <w:jc w:val="both"/>
      </w:pPr>
      <w:r>
        <w:t>1) занятые жилищным фондом (государственным, муниципальным, частным);</w:t>
      </w:r>
    </w:p>
    <w:p w:rsidR="00071C72" w:rsidRDefault="00071C72">
      <w:pPr>
        <w:pStyle w:val="ConsPlusNormal"/>
        <w:spacing w:before="220"/>
        <w:ind w:firstLine="540"/>
        <w:jc w:val="both"/>
      </w:pPr>
      <w:r>
        <w:t>2) предоставленные гражданам и их некоммерческим объединениям для размещения объектов, предназначенных для электро-, тепло-, газо- и водоснабжения, под строительство гаражей для собственных нужд,</w:t>
      </w:r>
    </w:p>
    <w:p w:rsidR="00071C72" w:rsidRDefault="00071C72">
      <w:pPr>
        <w:pStyle w:val="ConsPlusNormal"/>
        <w:spacing w:before="220"/>
        <w:ind w:firstLine="540"/>
        <w:jc w:val="both"/>
      </w:pPr>
      <w:r>
        <w:t>устанавливается со всей площади земельного участка в размере 5 процентов от базового размера арендной платы за земли населенных пунктов в границах городов и поселков городского типа (рабочих или дачных), но не менее 0,95 рубля за квадратный метр.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Title"/>
        <w:ind w:firstLine="540"/>
        <w:jc w:val="both"/>
        <w:outlineLvl w:val="1"/>
      </w:pPr>
      <w:r>
        <w:t>Статья 5. Базовый размер арендной платы за земельные участки из земель водного фонда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Normal"/>
        <w:ind w:firstLine="540"/>
        <w:jc w:val="both"/>
      </w:pPr>
      <w:r>
        <w:t>Базовый размер арендной платы за земельные участки из земель водного фонда устанавливается в соответствии с базовым размером арендной платы за земли сельскохозяйственного назначения соответствующего городского округа. В иных случаях базовый размер арендной платы за земельные участки из земель водного фонда устанавливается в размере 479 рублей за гектар.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Title"/>
        <w:ind w:firstLine="540"/>
        <w:jc w:val="both"/>
        <w:outlineLvl w:val="1"/>
      </w:pPr>
      <w:r>
        <w:t>Статья 6. Базовый размер арендной платы за земельные участки из земель особо охраняемых территорий и объектов, а также за земельные участки, занятые объектами культурного наследия, расположенные на землях иных категорий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Normal"/>
        <w:ind w:firstLine="540"/>
        <w:jc w:val="both"/>
      </w:pPr>
      <w:r>
        <w:t>Базовый размер арендной платы за земельные участки из земель особо охраняемых территорий и объектов, а также за земельные участки, занятые объектами культурного наследия, расположенные на землях иных категорий, устанавливается:</w:t>
      </w:r>
    </w:p>
    <w:p w:rsidR="00071C72" w:rsidRDefault="00071C72">
      <w:pPr>
        <w:pStyle w:val="ConsPlusNormal"/>
        <w:spacing w:before="220"/>
        <w:ind w:firstLine="540"/>
        <w:jc w:val="both"/>
      </w:pPr>
      <w:r>
        <w:t>1) в границах населенных пунктов в размере 1,98 рубля за квадратный метр;</w:t>
      </w:r>
    </w:p>
    <w:p w:rsidR="00071C72" w:rsidRDefault="00071C72">
      <w:pPr>
        <w:pStyle w:val="ConsPlusNormal"/>
        <w:spacing w:before="220"/>
        <w:ind w:firstLine="540"/>
        <w:jc w:val="both"/>
      </w:pPr>
      <w:r>
        <w:t>2) вне границ населенных пунктов в размере 1,66 рубля за квадратный метр.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Title"/>
        <w:ind w:firstLine="540"/>
        <w:jc w:val="both"/>
        <w:outlineLvl w:val="1"/>
      </w:pPr>
      <w:r>
        <w:t>Статья 7. Базовый размер арендной платы за земельные участки, занятые полигонами твердых коммунальных отходов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Normal"/>
        <w:ind w:firstLine="540"/>
        <w:jc w:val="both"/>
      </w:pPr>
      <w:r>
        <w:t>Базовый размер арендной платы за земельные участки, занятые полигонами твердых коммунальных отходов, устанавливается в соответствии с базовым размером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Title"/>
        <w:ind w:firstLine="540"/>
        <w:jc w:val="both"/>
        <w:outlineLvl w:val="1"/>
      </w:pPr>
      <w:r>
        <w:t>Статья 8. Базовый размер арендной платы за земельные участки, занятые полигонами (кроме полигонов твердых коммунальных отходов), аэродромами, аэропортами и вертодромами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Normal"/>
        <w:ind w:firstLine="540"/>
        <w:jc w:val="both"/>
      </w:pPr>
      <w:r>
        <w:t>Базовый размер арендной платы за земельные участки, занятые полигонами (кроме полигонов твердых коммунальных отходов), аэродромами, аэропортами и вертодромами, устанавливается:</w:t>
      </w:r>
    </w:p>
    <w:p w:rsidR="00071C72" w:rsidRDefault="00071C72">
      <w:pPr>
        <w:pStyle w:val="ConsPlusNormal"/>
        <w:spacing w:before="220"/>
        <w:ind w:firstLine="540"/>
        <w:jc w:val="both"/>
      </w:pPr>
      <w:r>
        <w:t>1) на землях населенных пунктов в соответствии с базовым размером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071C72" w:rsidRDefault="00071C72">
      <w:pPr>
        <w:pStyle w:val="ConsPlusNormal"/>
        <w:spacing w:before="220"/>
        <w:ind w:firstLine="540"/>
        <w:jc w:val="both"/>
      </w:pPr>
      <w:r>
        <w:lastRenderedPageBreak/>
        <w:t>2) на землях иных категорий в размере 2,40 рубля за квадратный метр.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Title"/>
        <w:ind w:firstLine="540"/>
        <w:jc w:val="both"/>
        <w:outlineLvl w:val="1"/>
      </w:pPr>
      <w:bookmarkStart w:id="2" w:name="P59"/>
      <w:bookmarkEnd w:id="2"/>
      <w:r>
        <w:t>Статья 9. Базовый размер арендной платы за нарушенные земли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Normal"/>
        <w:ind w:firstLine="540"/>
        <w:jc w:val="both"/>
      </w:pPr>
      <w:r>
        <w:t>1. При предоставлении в аренду земельных участков из земель населенных пунктов базовый размер арендной платы за нарушенные земли при наличии утвержденного проекта рекультивации таких земель устанавливается в размере 3,03 рубля за квадратный метр.</w:t>
      </w:r>
    </w:p>
    <w:p w:rsidR="00071C72" w:rsidRDefault="00071C72">
      <w:pPr>
        <w:pStyle w:val="ConsPlusNormal"/>
        <w:spacing w:before="220"/>
        <w:ind w:firstLine="540"/>
        <w:jc w:val="both"/>
      </w:pPr>
      <w:r>
        <w:t>2. Для целей настоящего Закона под нарушенными землями понимаются земли, утратившие свою хозяйственную ценность или являющиеся источником отрицательного воздействия на окружающую среду в связи с нарушением почвенного покрова, гидрологического режима и образования техногенного рельефа в результате производственной деятельности.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Title"/>
        <w:ind w:firstLine="540"/>
        <w:jc w:val="both"/>
        <w:outlineLvl w:val="1"/>
      </w:pPr>
      <w:r>
        <w:t>Статья 10. Вступление в силу настоящего Закона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Normal"/>
        <w:ind w:firstLine="540"/>
        <w:jc w:val="both"/>
      </w:pPr>
      <w:r>
        <w:t>Настоящий Закон вступает в силу на следующий день после дня его официального опубликования.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Normal"/>
        <w:jc w:val="right"/>
      </w:pPr>
      <w:r>
        <w:t>Губернатор Московской области</w:t>
      </w:r>
    </w:p>
    <w:p w:rsidR="00071C72" w:rsidRDefault="00071C72">
      <w:pPr>
        <w:pStyle w:val="ConsPlusNormal"/>
        <w:jc w:val="right"/>
      </w:pPr>
      <w:r>
        <w:t>А.Ю. Воробьев</w:t>
      </w:r>
    </w:p>
    <w:p w:rsidR="00071C72" w:rsidRDefault="00071C72">
      <w:pPr>
        <w:pStyle w:val="ConsPlusNormal"/>
      </w:pPr>
      <w:r>
        <w:t>29 ноября 2022 года</w:t>
      </w:r>
    </w:p>
    <w:p w:rsidR="00071C72" w:rsidRDefault="00071C72">
      <w:pPr>
        <w:pStyle w:val="ConsPlusNormal"/>
        <w:spacing w:before="220"/>
      </w:pPr>
      <w:r>
        <w:t>N 215/2022-ОЗ</w:t>
      </w:r>
    </w:p>
    <w:p w:rsidR="00071C72" w:rsidRDefault="00071C72">
      <w:pPr>
        <w:pStyle w:val="ConsPlusNormal"/>
        <w:jc w:val="both"/>
      </w:pPr>
    </w:p>
    <w:p w:rsidR="00E56D29" w:rsidRDefault="00E56D29">
      <w:pPr>
        <w:pStyle w:val="ConsPlusNormal"/>
        <w:jc w:val="both"/>
      </w:pPr>
    </w:p>
    <w:p w:rsidR="00E56D29" w:rsidRDefault="00E56D29">
      <w:pPr>
        <w:pStyle w:val="ConsPlusNormal"/>
        <w:jc w:val="both"/>
      </w:pPr>
    </w:p>
    <w:p w:rsidR="00071C72" w:rsidRDefault="00071C72">
      <w:pPr>
        <w:pStyle w:val="ConsPlusNormal"/>
        <w:jc w:val="right"/>
        <w:outlineLvl w:val="0"/>
      </w:pPr>
      <w:bookmarkStart w:id="3" w:name="_GoBack"/>
      <w:bookmarkEnd w:id="3"/>
      <w:r>
        <w:t>Приложение</w:t>
      </w:r>
    </w:p>
    <w:p w:rsidR="00071C72" w:rsidRDefault="00071C72">
      <w:pPr>
        <w:pStyle w:val="ConsPlusNormal"/>
        <w:jc w:val="right"/>
      </w:pPr>
      <w:r>
        <w:t>к Закону Московской области</w:t>
      </w:r>
    </w:p>
    <w:p w:rsidR="00071C72" w:rsidRDefault="00071C72">
      <w:pPr>
        <w:pStyle w:val="ConsPlusNormal"/>
        <w:jc w:val="right"/>
      </w:pPr>
      <w:r>
        <w:t>"Об установлении базового</w:t>
      </w:r>
    </w:p>
    <w:p w:rsidR="00071C72" w:rsidRDefault="00071C72">
      <w:pPr>
        <w:pStyle w:val="ConsPlusNormal"/>
        <w:jc w:val="right"/>
      </w:pPr>
      <w:r>
        <w:t>размера арендной платы</w:t>
      </w:r>
    </w:p>
    <w:p w:rsidR="00071C72" w:rsidRDefault="00071C72">
      <w:pPr>
        <w:pStyle w:val="ConsPlusNormal"/>
        <w:jc w:val="right"/>
      </w:pPr>
      <w:r>
        <w:t>за земельные участки,</w:t>
      </w:r>
    </w:p>
    <w:p w:rsidR="00071C72" w:rsidRDefault="00071C72">
      <w:pPr>
        <w:pStyle w:val="ConsPlusNormal"/>
        <w:jc w:val="right"/>
      </w:pPr>
      <w:r>
        <w:t>находящиеся в собственности</w:t>
      </w:r>
    </w:p>
    <w:p w:rsidR="00071C72" w:rsidRDefault="00071C72">
      <w:pPr>
        <w:pStyle w:val="ConsPlusNormal"/>
        <w:jc w:val="right"/>
      </w:pPr>
      <w:r>
        <w:t>Московской области</w:t>
      </w:r>
    </w:p>
    <w:p w:rsidR="00071C72" w:rsidRDefault="00071C72">
      <w:pPr>
        <w:pStyle w:val="ConsPlusNormal"/>
        <w:jc w:val="right"/>
      </w:pPr>
      <w:r>
        <w:t>или государственная собственность</w:t>
      </w:r>
    </w:p>
    <w:p w:rsidR="00071C72" w:rsidRDefault="00071C72">
      <w:pPr>
        <w:pStyle w:val="ConsPlusNormal"/>
        <w:jc w:val="right"/>
      </w:pPr>
      <w:r>
        <w:t>на которые не разграничена</w:t>
      </w:r>
    </w:p>
    <w:p w:rsidR="00071C72" w:rsidRDefault="00071C72">
      <w:pPr>
        <w:pStyle w:val="ConsPlusNormal"/>
        <w:jc w:val="right"/>
      </w:pPr>
      <w:r>
        <w:t>на территории Московской</w:t>
      </w:r>
    </w:p>
    <w:p w:rsidR="00071C72" w:rsidRDefault="00071C72">
      <w:pPr>
        <w:pStyle w:val="ConsPlusNormal"/>
        <w:jc w:val="right"/>
      </w:pPr>
      <w:r>
        <w:t>области, на 2023 год"</w:t>
      </w:r>
    </w:p>
    <w:p w:rsidR="00071C72" w:rsidRDefault="00071C72">
      <w:pPr>
        <w:pStyle w:val="ConsPlusNormal"/>
        <w:jc w:val="right"/>
      </w:pPr>
      <w:r>
        <w:t>от 29 ноября 2022 г. N 215/2022-ОЗ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Title"/>
        <w:jc w:val="center"/>
      </w:pPr>
      <w:bookmarkStart w:id="4" w:name="P90"/>
      <w:bookmarkEnd w:id="4"/>
      <w:r>
        <w:t>БАЗОВЫЙ РАЗМЕР</w:t>
      </w:r>
    </w:p>
    <w:p w:rsidR="00071C72" w:rsidRDefault="00071C72">
      <w:pPr>
        <w:pStyle w:val="ConsPlusTitle"/>
        <w:jc w:val="center"/>
      </w:pPr>
      <w:r>
        <w:t>АРЕНДНОЙ ПЛАТЫ ЗА ЗЕМЕЛЬНЫЕ УЧАСТКИ, НАХОДЯЩИЕСЯ</w:t>
      </w:r>
    </w:p>
    <w:p w:rsidR="00071C72" w:rsidRDefault="00071C72">
      <w:pPr>
        <w:pStyle w:val="ConsPlusTitle"/>
        <w:jc w:val="center"/>
      </w:pPr>
      <w:r>
        <w:t>В СОБСТВЕННОСТИ МОСКОВСКОЙ ОБЛАСТИ ИЛИ ГОСУДАРСТВЕННАЯ</w:t>
      </w:r>
    </w:p>
    <w:p w:rsidR="00071C72" w:rsidRDefault="00071C72">
      <w:pPr>
        <w:pStyle w:val="ConsPlusTitle"/>
        <w:jc w:val="center"/>
      </w:pPr>
      <w:r>
        <w:t>СОБСТВЕННОСТЬ НА КОТОРЫЕ НЕ РАЗГРАНИЧЕНА НА ТЕРРИТОРИИ</w:t>
      </w:r>
    </w:p>
    <w:p w:rsidR="00071C72" w:rsidRDefault="00071C72">
      <w:pPr>
        <w:pStyle w:val="ConsPlusTitle"/>
        <w:jc w:val="center"/>
      </w:pPr>
      <w:r>
        <w:t>МОСКОВСКОЙ ОБЛАСТИ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Normal"/>
        <w:sectPr w:rsidR="00071C72" w:rsidSect="00E56D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247"/>
        <w:gridCol w:w="1531"/>
        <w:gridCol w:w="1644"/>
        <w:gridCol w:w="1644"/>
        <w:gridCol w:w="1701"/>
        <w:gridCol w:w="2098"/>
      </w:tblGrid>
      <w:tr w:rsidR="00071C72">
        <w:tc>
          <w:tcPr>
            <w:tcW w:w="709" w:type="dxa"/>
            <w:vMerge w:val="restart"/>
          </w:tcPr>
          <w:p w:rsidR="00071C72" w:rsidRDefault="00071C72">
            <w:pPr>
              <w:pStyle w:val="ConsPlusNormal"/>
            </w:pPr>
            <w:r>
              <w:lastRenderedPageBreak/>
              <w:t>N п/п</w:t>
            </w:r>
          </w:p>
        </w:tc>
        <w:tc>
          <w:tcPr>
            <w:tcW w:w="2977" w:type="dxa"/>
            <w:vMerge w:val="restart"/>
          </w:tcPr>
          <w:p w:rsidR="00071C72" w:rsidRDefault="00071C72">
            <w:pPr>
              <w:pStyle w:val="ConsPlusNormal"/>
            </w:pPr>
            <w:r>
              <w:t>Наименование городского округа, населенного пункта, микрорайона, квартала</w:t>
            </w:r>
          </w:p>
        </w:tc>
        <w:tc>
          <w:tcPr>
            <w:tcW w:w="2778" w:type="dxa"/>
            <w:gridSpan w:val="2"/>
          </w:tcPr>
          <w:p w:rsidR="00071C72" w:rsidRDefault="00071C72">
            <w:pPr>
              <w:pStyle w:val="ConsPlusNormal"/>
            </w:pPr>
            <w:r>
              <w:t>Базовый размер арендной платы за земли населенных пунктов в границах городов и поселков городского типа (рабочих или дачных) (руб./кв. м)</w:t>
            </w:r>
          </w:p>
        </w:tc>
        <w:tc>
          <w:tcPr>
            <w:tcW w:w="3288" w:type="dxa"/>
            <w:gridSpan w:val="2"/>
          </w:tcPr>
          <w:p w:rsidR="00071C72" w:rsidRDefault="00071C72">
            <w:pPr>
              <w:pStyle w:val="ConsPlusNormal"/>
            </w:pPr>
            <w:r>
              <w:t xml:space="preserve">Базовый размер арендной платы за земли населенных пунктов в границах сельских населенных пунктов и вне границ населенных пунктов (руб./кв. м) </w:t>
            </w:r>
            <w:hyperlink w:anchor="P169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vMerge w:val="restart"/>
          </w:tcPr>
          <w:p w:rsidR="00071C72" w:rsidRDefault="00071C72">
            <w:pPr>
              <w:pStyle w:val="ConsPlusNormal"/>
            </w:pPr>
            <w:r>
              <w:t>Базовый размер арендной платы за земли сельскохозяйственного назначения (руб./га)</w:t>
            </w:r>
          </w:p>
        </w:tc>
        <w:tc>
          <w:tcPr>
            <w:tcW w:w="2098" w:type="dxa"/>
            <w:vMerge w:val="restart"/>
          </w:tcPr>
          <w:p w:rsidR="00071C72" w:rsidRDefault="00071C72">
            <w:pPr>
              <w:pStyle w:val="ConsPlusNormal"/>
            </w:pPr>
            <w:r>
              <w:t xml:space="preserve">Базовый размер арендной платы за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(руб./кв. м) </w:t>
            </w:r>
            <w:hyperlink w:anchor="P1694">
              <w:r>
                <w:rPr>
                  <w:color w:val="0000FF"/>
                </w:rPr>
                <w:t>&lt;***&gt;</w:t>
              </w:r>
            </w:hyperlink>
          </w:p>
        </w:tc>
      </w:tr>
      <w:tr w:rsidR="00071C72">
        <w:tc>
          <w:tcPr>
            <w:tcW w:w="709" w:type="dxa"/>
            <w:vMerge/>
          </w:tcPr>
          <w:p w:rsidR="00071C72" w:rsidRDefault="00071C72">
            <w:pPr>
              <w:pStyle w:val="ConsPlusNormal"/>
            </w:pPr>
          </w:p>
        </w:tc>
        <w:tc>
          <w:tcPr>
            <w:tcW w:w="2977" w:type="dxa"/>
            <w:vMerge/>
          </w:tcPr>
          <w:p w:rsidR="00071C72" w:rsidRDefault="00071C72">
            <w:pPr>
              <w:pStyle w:val="ConsPlusNormal"/>
            </w:pPr>
          </w:p>
        </w:tc>
        <w:tc>
          <w:tcPr>
            <w:tcW w:w="1247" w:type="dxa"/>
          </w:tcPr>
          <w:p w:rsidR="00071C72" w:rsidRDefault="00071C72">
            <w:pPr>
              <w:pStyle w:val="ConsPlusNormal"/>
            </w:pPr>
            <w:r>
              <w:t>городов</w:t>
            </w:r>
          </w:p>
        </w:tc>
        <w:tc>
          <w:tcPr>
            <w:tcW w:w="1531" w:type="dxa"/>
          </w:tcPr>
          <w:p w:rsidR="00071C72" w:rsidRDefault="00071C72">
            <w:pPr>
              <w:pStyle w:val="ConsPlusNormal"/>
            </w:pPr>
            <w:r>
              <w:t>поселков городского типа (рабочих или дачных), микрорайонов, кварталов</w:t>
            </w:r>
          </w:p>
        </w:tc>
        <w:tc>
          <w:tcPr>
            <w:tcW w:w="1644" w:type="dxa"/>
          </w:tcPr>
          <w:p w:rsidR="00071C72" w:rsidRDefault="00071C72">
            <w:pPr>
              <w:pStyle w:val="ConsPlusNormal"/>
            </w:pPr>
            <w:r>
              <w:t>за земельные участки, предоставленные юридическим лицам и предпринимателям без образования юридического лица</w:t>
            </w:r>
          </w:p>
        </w:tc>
        <w:tc>
          <w:tcPr>
            <w:tcW w:w="1644" w:type="dxa"/>
          </w:tcPr>
          <w:p w:rsidR="00071C72" w:rsidRDefault="00071C72">
            <w:pPr>
              <w:pStyle w:val="ConsPlusNormal"/>
            </w:pPr>
            <w:r>
              <w:t xml:space="preserve">за земельные участки, предоставленные гражданам </w:t>
            </w:r>
            <w:hyperlink w:anchor="P169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Merge/>
          </w:tcPr>
          <w:p w:rsidR="00071C72" w:rsidRDefault="00071C72">
            <w:pPr>
              <w:pStyle w:val="ConsPlusNormal"/>
            </w:pPr>
          </w:p>
        </w:tc>
        <w:tc>
          <w:tcPr>
            <w:tcW w:w="2098" w:type="dxa"/>
            <w:vMerge/>
          </w:tcPr>
          <w:p w:rsidR="00071C72" w:rsidRDefault="00071C72">
            <w:pPr>
              <w:pStyle w:val="ConsPlusNormal"/>
            </w:pPr>
          </w:p>
        </w:tc>
      </w:tr>
      <w:tr w:rsidR="00071C72">
        <w:tc>
          <w:tcPr>
            <w:tcW w:w="709" w:type="dxa"/>
          </w:tcPr>
          <w:p w:rsidR="00071C72" w:rsidRDefault="00071C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71C72" w:rsidRDefault="00071C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071C72" w:rsidRDefault="00071C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071C72" w:rsidRDefault="00071C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071C72" w:rsidRDefault="00071C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071C72" w:rsidRDefault="00071C7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071C72" w:rsidRDefault="00071C7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071C72" w:rsidRDefault="00071C72">
            <w:pPr>
              <w:pStyle w:val="ConsPlusNormal"/>
              <w:jc w:val="center"/>
            </w:pPr>
            <w:r>
              <w:t>8</w:t>
            </w:r>
          </w:p>
        </w:tc>
      </w:tr>
      <w:tr w:rsidR="00071C72">
        <w:tc>
          <w:tcPr>
            <w:tcW w:w="709" w:type="dxa"/>
          </w:tcPr>
          <w:p w:rsidR="00071C72" w:rsidRDefault="00071C72">
            <w:pPr>
              <w:pStyle w:val="ConsPlusNormal"/>
            </w:pPr>
          </w:p>
        </w:tc>
        <w:tc>
          <w:tcPr>
            <w:tcW w:w="2977" w:type="dxa"/>
          </w:tcPr>
          <w:p w:rsidR="00071C72" w:rsidRDefault="00071C72">
            <w:pPr>
              <w:pStyle w:val="ConsPlusNormal"/>
            </w:pPr>
            <w:r>
              <w:t>Городской округ Домодедово</w:t>
            </w:r>
          </w:p>
        </w:tc>
        <w:tc>
          <w:tcPr>
            <w:tcW w:w="1247" w:type="dxa"/>
          </w:tcPr>
          <w:p w:rsidR="00071C72" w:rsidRDefault="00071C72">
            <w:pPr>
              <w:pStyle w:val="ConsPlusNormal"/>
            </w:pPr>
          </w:p>
        </w:tc>
        <w:tc>
          <w:tcPr>
            <w:tcW w:w="1531" w:type="dxa"/>
          </w:tcPr>
          <w:p w:rsidR="00071C72" w:rsidRDefault="00071C72">
            <w:pPr>
              <w:pStyle w:val="ConsPlusNormal"/>
            </w:pPr>
          </w:p>
        </w:tc>
        <w:tc>
          <w:tcPr>
            <w:tcW w:w="1644" w:type="dxa"/>
          </w:tcPr>
          <w:p w:rsidR="00071C72" w:rsidRDefault="00071C72">
            <w:pPr>
              <w:pStyle w:val="ConsPlusNormal"/>
            </w:pPr>
            <w:r>
              <w:t>3,13</w:t>
            </w:r>
          </w:p>
        </w:tc>
        <w:tc>
          <w:tcPr>
            <w:tcW w:w="1644" w:type="dxa"/>
          </w:tcPr>
          <w:p w:rsidR="00071C72" w:rsidRDefault="00071C72">
            <w:pPr>
              <w:pStyle w:val="ConsPlusNormal"/>
            </w:pPr>
            <w:r>
              <w:t>0,97</w:t>
            </w:r>
          </w:p>
        </w:tc>
        <w:tc>
          <w:tcPr>
            <w:tcW w:w="1701" w:type="dxa"/>
          </w:tcPr>
          <w:p w:rsidR="00071C72" w:rsidRDefault="00071C72">
            <w:pPr>
              <w:pStyle w:val="ConsPlusNormal"/>
            </w:pPr>
            <w:r>
              <w:t>244,18</w:t>
            </w:r>
          </w:p>
        </w:tc>
        <w:tc>
          <w:tcPr>
            <w:tcW w:w="2098" w:type="dxa"/>
          </w:tcPr>
          <w:p w:rsidR="00071C72" w:rsidRDefault="00071C72">
            <w:pPr>
              <w:pStyle w:val="ConsPlusNormal"/>
            </w:pPr>
            <w:r>
              <w:t>10,01</w:t>
            </w:r>
          </w:p>
        </w:tc>
      </w:tr>
      <w:tr w:rsidR="00071C72">
        <w:tc>
          <w:tcPr>
            <w:tcW w:w="709" w:type="dxa"/>
          </w:tcPr>
          <w:p w:rsidR="00071C72" w:rsidRDefault="00071C72">
            <w:pPr>
              <w:pStyle w:val="ConsPlusNormal"/>
            </w:pPr>
          </w:p>
        </w:tc>
        <w:tc>
          <w:tcPr>
            <w:tcW w:w="2977" w:type="dxa"/>
          </w:tcPr>
          <w:p w:rsidR="00071C72" w:rsidRDefault="00071C72">
            <w:pPr>
              <w:pStyle w:val="ConsPlusNormal"/>
            </w:pPr>
            <w:r>
              <w:t>Г. Домодедово</w:t>
            </w:r>
          </w:p>
          <w:p w:rsidR="00071C72" w:rsidRDefault="00071C72">
            <w:pPr>
              <w:pStyle w:val="ConsPlusNormal"/>
            </w:pPr>
            <w:r>
              <w:t>(за исключением стр. 26)</w:t>
            </w:r>
          </w:p>
        </w:tc>
        <w:tc>
          <w:tcPr>
            <w:tcW w:w="1247" w:type="dxa"/>
          </w:tcPr>
          <w:p w:rsidR="00071C72" w:rsidRDefault="00071C72">
            <w:pPr>
              <w:pStyle w:val="ConsPlusNormal"/>
            </w:pPr>
            <w:r>
              <w:t>66,48</w:t>
            </w:r>
          </w:p>
        </w:tc>
        <w:tc>
          <w:tcPr>
            <w:tcW w:w="1531" w:type="dxa"/>
          </w:tcPr>
          <w:p w:rsidR="00071C72" w:rsidRDefault="00071C72">
            <w:pPr>
              <w:pStyle w:val="ConsPlusNormal"/>
            </w:pPr>
          </w:p>
        </w:tc>
        <w:tc>
          <w:tcPr>
            <w:tcW w:w="1644" w:type="dxa"/>
          </w:tcPr>
          <w:p w:rsidR="00071C72" w:rsidRDefault="00071C72">
            <w:pPr>
              <w:pStyle w:val="ConsPlusNormal"/>
            </w:pPr>
          </w:p>
        </w:tc>
        <w:tc>
          <w:tcPr>
            <w:tcW w:w="1644" w:type="dxa"/>
          </w:tcPr>
          <w:p w:rsidR="00071C72" w:rsidRDefault="00071C72">
            <w:pPr>
              <w:pStyle w:val="ConsPlusNormal"/>
            </w:pPr>
          </w:p>
        </w:tc>
        <w:tc>
          <w:tcPr>
            <w:tcW w:w="1701" w:type="dxa"/>
          </w:tcPr>
          <w:p w:rsidR="00071C72" w:rsidRDefault="00071C72">
            <w:pPr>
              <w:pStyle w:val="ConsPlusNormal"/>
            </w:pPr>
          </w:p>
        </w:tc>
        <w:tc>
          <w:tcPr>
            <w:tcW w:w="2098" w:type="dxa"/>
          </w:tcPr>
          <w:p w:rsidR="00071C72" w:rsidRDefault="00071C72">
            <w:pPr>
              <w:pStyle w:val="ConsPlusNormal"/>
            </w:pPr>
          </w:p>
        </w:tc>
      </w:tr>
      <w:tr w:rsidR="00071C72">
        <w:tc>
          <w:tcPr>
            <w:tcW w:w="709" w:type="dxa"/>
          </w:tcPr>
          <w:p w:rsidR="00071C72" w:rsidRDefault="00071C72">
            <w:pPr>
              <w:pStyle w:val="ConsPlusNormal"/>
            </w:pPr>
          </w:p>
        </w:tc>
        <w:tc>
          <w:tcPr>
            <w:tcW w:w="2977" w:type="dxa"/>
          </w:tcPr>
          <w:p w:rsidR="00071C72" w:rsidRDefault="00071C72">
            <w:pPr>
              <w:pStyle w:val="ConsPlusNormal"/>
            </w:pPr>
            <w:proofErr w:type="spellStart"/>
            <w:r>
              <w:t>Мкр</w:t>
            </w:r>
            <w:proofErr w:type="spellEnd"/>
            <w:r>
              <w:t>. Барыбино,</w:t>
            </w:r>
          </w:p>
          <w:p w:rsidR="00071C72" w:rsidRDefault="00071C72">
            <w:pPr>
              <w:pStyle w:val="ConsPlusNormal"/>
            </w:pPr>
            <w:proofErr w:type="spellStart"/>
            <w:r>
              <w:t>мкр</w:t>
            </w:r>
            <w:proofErr w:type="spellEnd"/>
            <w:r>
              <w:t>. Белые Столбы,</w:t>
            </w:r>
          </w:p>
          <w:p w:rsidR="00071C72" w:rsidRDefault="00071C72">
            <w:pPr>
              <w:pStyle w:val="ConsPlusNormal"/>
            </w:pP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Востряково</w:t>
            </w:r>
            <w:proofErr w:type="spellEnd"/>
            <w:r>
              <w:t>,</w:t>
            </w:r>
          </w:p>
          <w:p w:rsidR="00071C72" w:rsidRDefault="00071C72">
            <w:pPr>
              <w:pStyle w:val="ConsPlusNormal"/>
            </w:pPr>
            <w:proofErr w:type="spellStart"/>
            <w:r>
              <w:t>мкр</w:t>
            </w:r>
            <w:proofErr w:type="spellEnd"/>
            <w:r>
              <w:t>. Авиационный</w:t>
            </w:r>
          </w:p>
          <w:p w:rsidR="00071C72" w:rsidRDefault="00071C72">
            <w:pPr>
              <w:pStyle w:val="ConsPlusNormal"/>
            </w:pPr>
            <w:r>
              <w:t>в г. Домодедово</w:t>
            </w:r>
          </w:p>
        </w:tc>
        <w:tc>
          <w:tcPr>
            <w:tcW w:w="1247" w:type="dxa"/>
          </w:tcPr>
          <w:p w:rsidR="00071C72" w:rsidRDefault="00071C72">
            <w:pPr>
              <w:pStyle w:val="ConsPlusNormal"/>
            </w:pPr>
          </w:p>
        </w:tc>
        <w:tc>
          <w:tcPr>
            <w:tcW w:w="1531" w:type="dxa"/>
          </w:tcPr>
          <w:p w:rsidR="00071C72" w:rsidRDefault="00071C72">
            <w:pPr>
              <w:pStyle w:val="ConsPlusNormal"/>
            </w:pPr>
            <w:r>
              <w:t>62,53</w:t>
            </w:r>
          </w:p>
        </w:tc>
        <w:tc>
          <w:tcPr>
            <w:tcW w:w="1644" w:type="dxa"/>
          </w:tcPr>
          <w:p w:rsidR="00071C72" w:rsidRDefault="00071C72">
            <w:pPr>
              <w:pStyle w:val="ConsPlusNormal"/>
            </w:pPr>
          </w:p>
        </w:tc>
        <w:tc>
          <w:tcPr>
            <w:tcW w:w="1644" w:type="dxa"/>
          </w:tcPr>
          <w:p w:rsidR="00071C72" w:rsidRDefault="00071C72">
            <w:pPr>
              <w:pStyle w:val="ConsPlusNormal"/>
            </w:pPr>
          </w:p>
        </w:tc>
        <w:tc>
          <w:tcPr>
            <w:tcW w:w="1701" w:type="dxa"/>
          </w:tcPr>
          <w:p w:rsidR="00071C72" w:rsidRDefault="00071C72">
            <w:pPr>
              <w:pStyle w:val="ConsPlusNormal"/>
            </w:pPr>
          </w:p>
        </w:tc>
        <w:tc>
          <w:tcPr>
            <w:tcW w:w="2098" w:type="dxa"/>
          </w:tcPr>
          <w:p w:rsidR="00071C72" w:rsidRDefault="00071C72">
            <w:pPr>
              <w:pStyle w:val="ConsPlusNormal"/>
            </w:pPr>
          </w:p>
        </w:tc>
      </w:tr>
    </w:tbl>
    <w:p w:rsidR="00071C72" w:rsidRDefault="00071C72">
      <w:pPr>
        <w:pStyle w:val="ConsPlusNormal"/>
        <w:sectPr w:rsidR="00071C7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Normal"/>
        <w:ind w:firstLine="540"/>
        <w:jc w:val="both"/>
      </w:pPr>
      <w:r>
        <w:t>--------------------------------</w:t>
      </w:r>
    </w:p>
    <w:p w:rsidR="00071C72" w:rsidRDefault="00071C72">
      <w:pPr>
        <w:pStyle w:val="ConsPlusNormal"/>
        <w:spacing w:before="220"/>
        <w:ind w:firstLine="540"/>
        <w:jc w:val="both"/>
      </w:pPr>
      <w:bookmarkStart w:id="5" w:name="P1692"/>
      <w:bookmarkEnd w:id="5"/>
      <w:r>
        <w:t>&lt;*&gt; Под земельными участками вне границ населенных пунктов понимаются земельные участки, отнесенные к категории "Земли населенных пунктов", но не включенные в порядке, установленном законодательством Российской Федерации, в границы населенных пунктов.</w:t>
      </w:r>
    </w:p>
    <w:p w:rsidR="00071C72" w:rsidRDefault="00071C72">
      <w:pPr>
        <w:pStyle w:val="ConsPlusNormal"/>
        <w:spacing w:before="220"/>
        <w:ind w:firstLine="540"/>
        <w:jc w:val="both"/>
      </w:pPr>
      <w:bookmarkStart w:id="6" w:name="P1693"/>
      <w:bookmarkEnd w:id="6"/>
      <w:r>
        <w:t xml:space="preserve">&lt;**&gt; За исключением земельных участков с видом разрешенного использования, указанных в </w:t>
      </w:r>
      <w:hyperlink r:id="rId5">
        <w:r>
          <w:rPr>
            <w:color w:val="0000FF"/>
          </w:rPr>
          <w:t>пункте 2.4 части 1 статьи 14</w:t>
        </w:r>
      </w:hyperlink>
      <w:r>
        <w:t xml:space="preserve"> Закона Московской области N 23/96-ОЗ "О регулировании земельных отношений в Московской области".</w:t>
      </w:r>
    </w:p>
    <w:p w:rsidR="00071C72" w:rsidRDefault="00071C72">
      <w:pPr>
        <w:pStyle w:val="ConsPlusNormal"/>
        <w:spacing w:before="220"/>
        <w:ind w:firstLine="540"/>
        <w:jc w:val="both"/>
      </w:pPr>
      <w:bookmarkStart w:id="7" w:name="P1694"/>
      <w:bookmarkEnd w:id="7"/>
      <w:r>
        <w:t xml:space="preserve">&lt;***&gt; За исключением земельных участков, предоставленных для размещения объектов, предусмотренных </w:t>
      </w:r>
      <w:hyperlink r:id="rId6">
        <w:r>
          <w:rPr>
            <w:color w:val="0000FF"/>
          </w:rPr>
          <w:t>пунктом 2.5 части 1 статьи 14</w:t>
        </w:r>
      </w:hyperlink>
      <w:r>
        <w:t xml:space="preserve"> Закона Московской области N 23/96-ОЗ "О регулировании земельных отношений в Московской области".</w:t>
      </w: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Normal"/>
        <w:jc w:val="both"/>
      </w:pPr>
    </w:p>
    <w:p w:rsidR="00071C72" w:rsidRDefault="00071C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26E4" w:rsidRDefault="00E56D29"/>
    <w:sectPr w:rsidR="000726E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72"/>
    <w:rsid w:val="00071C72"/>
    <w:rsid w:val="00693373"/>
    <w:rsid w:val="00D567D0"/>
    <w:rsid w:val="00E5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E391"/>
  <w15:chartTrackingRefBased/>
  <w15:docId w15:val="{60D7E3B4-D9A4-4EE9-B63E-9233E9DD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C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71C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71C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71C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71C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71C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71C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71C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D7056A43A0CDC501B347F338C443A9C42FAE72E7C1D2E95D40D9BFD9D6E5F559C96A54C89F1264B5870E691F3E8F11DF98ACEE5CCCFEDKDXCN" TargetMode="External"/><Relationship Id="rId5" Type="http://schemas.openxmlformats.org/officeDocument/2006/relationships/hyperlink" Target="consultantplus://offline/ref=ECFD7056A43A0CDC501B347F338C443A9C42FAE72E7C1D2E95D40D9BFD9D6E5F559C96A54C89F1224C5870E691F3E8F11DF98ACEE5CCCFEDKDXCN" TargetMode="External"/><Relationship Id="rId4" Type="http://schemas.openxmlformats.org/officeDocument/2006/relationships/hyperlink" Target="consultantplus://offline/ref=ECFD7056A43A0CDC501B347F338C443A9C42FAE72E7C1D2E95D40D9BFD9D6E5F479CCEA94C8EE826494D26B7D7KAX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Е.А.</dc:creator>
  <cp:keywords/>
  <dc:description/>
  <cp:lastModifiedBy>Скворцова Е.А.</cp:lastModifiedBy>
  <cp:revision>2</cp:revision>
  <dcterms:created xsi:type="dcterms:W3CDTF">2022-12-06T13:23:00Z</dcterms:created>
  <dcterms:modified xsi:type="dcterms:W3CDTF">2022-12-06T13:32:00Z</dcterms:modified>
</cp:coreProperties>
</file>